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AA" w:rsidRDefault="009F27AA" w:rsidP="009F27AA">
      <w:pPr>
        <w:pStyle w:val="1"/>
        <w:jc w:val="center"/>
      </w:pPr>
      <w:r>
        <w:rPr>
          <w:noProof/>
          <w:snapToGrid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AA" w:rsidRDefault="009F27AA" w:rsidP="009F27AA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9F27AA" w:rsidRDefault="009F27AA" w:rsidP="009F27AA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F27AA" w:rsidTr="00CE1BE0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9F27AA" w:rsidRDefault="009F27AA" w:rsidP="00CE1BE0">
            <w:pPr>
              <w:pStyle w:val="1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9F27AA" w:rsidRDefault="009F27AA" w:rsidP="009F27AA">
      <w:pPr>
        <w:tabs>
          <w:tab w:val="right" w:pos="1077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4"/>
          <w:lang w:eastAsia="ru-RU"/>
        </w:rPr>
      </w:pPr>
    </w:p>
    <w:p w:rsidR="009F27AA" w:rsidRPr="00F404DB" w:rsidRDefault="005849EC" w:rsidP="009F27AA">
      <w:pPr>
        <w:tabs>
          <w:tab w:val="right" w:pos="10206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404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r w:rsidR="00F404DB" w:rsidRPr="00F404DB">
        <w:rPr>
          <w:rFonts w:ascii="Times New Roman" w:eastAsia="Times New Roman" w:hAnsi="Times New Roman"/>
          <w:b/>
          <w:sz w:val="24"/>
          <w:szCs w:val="24"/>
          <w:lang w:eastAsia="ru-RU"/>
        </w:rPr>
        <w:t>28» декобря</w:t>
      </w:r>
      <w:r w:rsidR="009F27AA" w:rsidRPr="00F404DB">
        <w:rPr>
          <w:rFonts w:ascii="Times New Roman" w:eastAsia="Times New Roman" w:hAnsi="Times New Roman"/>
          <w:b/>
          <w:sz w:val="24"/>
          <w:szCs w:val="24"/>
          <w:lang w:eastAsia="ru-RU"/>
        </w:rPr>
        <w:t>2017г.                                                                                                      №</w:t>
      </w:r>
      <w:r w:rsidR="00F404DB" w:rsidRPr="00F404DB">
        <w:rPr>
          <w:rFonts w:ascii="Times New Roman" w:eastAsia="Times New Roman" w:hAnsi="Times New Roman"/>
          <w:b/>
          <w:sz w:val="24"/>
          <w:szCs w:val="24"/>
          <w:lang w:eastAsia="ru-RU"/>
        </w:rPr>
        <w:t>24-3</w:t>
      </w:r>
    </w:p>
    <w:p w:rsidR="009F27AA" w:rsidRPr="00F404DB" w:rsidRDefault="009F27AA" w:rsidP="009F27AA">
      <w:pP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404D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</w:t>
      </w:r>
    </w:p>
    <w:p w:rsidR="009F27AA" w:rsidRPr="00B56DD8" w:rsidRDefault="009F27AA" w:rsidP="009F27AA">
      <w:pP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РЕШЕНИЕ</w:t>
      </w:r>
    </w:p>
    <w:p w:rsidR="007F3C99" w:rsidRPr="007F3C99" w:rsidRDefault="007F3C99" w:rsidP="007F3C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муниципальных заимствованиях, обслуживании и управлении муниципальным долгом внутригородского района «Кировский район»</w:t>
      </w:r>
      <w:r w:rsidR="00D34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г.Махачкала</w:t>
      </w:r>
    </w:p>
    <w:p w:rsidR="007F3C99" w:rsidRPr="00B26E7A" w:rsidRDefault="007F3C99" w:rsidP="00352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B26E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B26E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внутригородского района «Кировский</w:t>
      </w:r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район»</w:t>
      </w:r>
      <w:r w:rsidR="00D344CA"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г.Махачкала, Положением о бюджетном процессе в внутригородском районе «</w:t>
      </w:r>
      <w:proofErr w:type="spellStart"/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Кировкий</w:t>
      </w:r>
      <w:proofErr w:type="spellEnd"/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344CA"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г.Махачкала</w:t>
      </w:r>
      <w:proofErr w:type="spellEnd"/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внутригородского района «Кировский район»</w:t>
      </w:r>
      <w:r w:rsidR="00D344CA"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г.Махачкала решает:</w:t>
      </w:r>
    </w:p>
    <w:p w:rsidR="007F3C99" w:rsidRPr="00B26E7A" w:rsidRDefault="007F3C99" w:rsidP="00352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 муниципальных заимствованиях, обслуживании и управлении муниципальным долгом муниципального образования внутригородского района «Кировский район»</w:t>
      </w:r>
      <w:r w:rsidR="00D344CA"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г.Махачкала  согласно</w:t>
      </w:r>
      <w:proofErr w:type="gramEnd"/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:rsidR="007F3C99" w:rsidRPr="00B26E7A" w:rsidRDefault="007F3C99" w:rsidP="00352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опубликования в газете "Махачкалинские известия".</w:t>
      </w:r>
    </w:p>
    <w:p w:rsidR="00123632" w:rsidRPr="0069039B" w:rsidRDefault="007F3C99" w:rsidP="00123632">
      <w:pPr>
        <w:spacing w:after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Кировского района    </w:t>
      </w:r>
      <w:r w:rsidR="00123632" w:rsidRPr="0069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="009F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123632" w:rsidRPr="0069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Сагидов С.К.   </w:t>
      </w:r>
    </w:p>
    <w:p w:rsidR="009F27AA" w:rsidRDefault="009F27AA" w:rsidP="00123632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632" w:rsidRPr="0069039B" w:rsidRDefault="00123632" w:rsidP="001236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39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Председатель Собрания   </w:t>
      </w:r>
      <w:r w:rsidR="009F27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6903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996E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039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F27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03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39B">
        <w:rPr>
          <w:rFonts w:ascii="Times New Roman" w:eastAsia="Times New Roman" w:hAnsi="Times New Roman" w:cs="Times New Roman"/>
          <w:b/>
          <w:sz w:val="28"/>
          <w:szCs w:val="28"/>
        </w:rPr>
        <w:t>Абиева</w:t>
      </w:r>
      <w:proofErr w:type="spellEnd"/>
      <w:r w:rsidRPr="0069039B">
        <w:rPr>
          <w:rFonts w:ascii="Times New Roman" w:eastAsia="Times New Roman" w:hAnsi="Times New Roman" w:cs="Times New Roman"/>
          <w:b/>
          <w:sz w:val="28"/>
          <w:szCs w:val="28"/>
        </w:rPr>
        <w:t xml:space="preserve"> Э.Г.</w:t>
      </w:r>
      <w:r w:rsidRPr="0069039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</w:p>
    <w:p w:rsidR="00123632" w:rsidRDefault="00123632" w:rsidP="00123632"/>
    <w:p w:rsidR="00996E85" w:rsidRDefault="00996E85" w:rsidP="00996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AA" w:rsidRDefault="009F27AA" w:rsidP="00996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AA" w:rsidRPr="009F27AA" w:rsidRDefault="009F27AA" w:rsidP="009F27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9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 решению Собрания депутатов</w:t>
      </w:r>
      <w:r w:rsidRPr="009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внутригородского района «Кировский район» г.М</w:t>
      </w:r>
      <w:r w:rsidR="00F40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ахачкала"</w:t>
      </w:r>
      <w:r w:rsidR="00F40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28.12.</w:t>
      </w:r>
      <w:r w:rsidRPr="009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 N</w:t>
      </w:r>
      <w:r w:rsidR="00F40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24-3</w:t>
      </w:r>
      <w:r w:rsidRPr="009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27AA" w:rsidRDefault="009F27AA" w:rsidP="00996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AA" w:rsidRDefault="009F27AA" w:rsidP="00996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C99" w:rsidRPr="007F3C99" w:rsidRDefault="007F3C99" w:rsidP="00996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 о муниципальных заимствованиях, обслуживании и управлении муниципальным долгом муниципального образования </w:t>
      </w:r>
      <w:r w:rsidR="005A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внутригородского района «Кировский район» г.Махачкала.</w:t>
      </w:r>
    </w:p>
    <w:p w:rsidR="009F27AA" w:rsidRDefault="009F27AA" w:rsidP="009F27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99" w:rsidRPr="00352D82" w:rsidRDefault="007F3C99" w:rsidP="009F27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1.1 Настоящее Положение определяет понятие, виды и структуру муниципального долга. Устанавливает порядок осуществления муниципальных заимствований, обслуживания и управления муниципальным </w:t>
      </w:r>
      <w:proofErr w:type="gramStart"/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долгом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внутригородского района «Кировский район»</w:t>
      </w:r>
      <w:r w:rsidR="00D344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г.Махачкала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внутригородской район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1.2. Муниципальные заимствования - муниципальные займы, осуществляемые путем выпуска ценных бумаг от имени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внутригородского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, и кредиты, привлекаемые в бюджет муниципального образования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внутригородского района «Кировский район</w:t>
      </w:r>
      <w:r w:rsidR="00D344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г.Махачкала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352D82">
        <w:rPr>
          <w:rFonts w:ascii="Times New Roman" w:hAnsi="Times New Roman" w:cs="Times New Roman"/>
          <w:sz w:val="24"/>
          <w:szCs w:val="24"/>
          <w:lang w:eastAsia="ru-RU"/>
        </w:rPr>
        <w:t>далее -  бюджет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)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1.3.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установленных </w:t>
      </w:r>
      <w:hyperlink r:id="rId7" w:history="1">
        <w:r w:rsidRPr="00352D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, принятые на себя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внутригородским районом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1.4. Долговые обязательства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497812945"/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внутригородского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352D82">
        <w:rPr>
          <w:rFonts w:ascii="Times New Roman" w:hAnsi="Times New Roman" w:cs="Times New Roman"/>
          <w:sz w:val="24"/>
          <w:szCs w:val="24"/>
          <w:lang w:eastAsia="ru-RU"/>
        </w:rPr>
        <w:t>полностью и без условий обеспечиваются всем находящимся в собственности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внутригородского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имуществом, составляющим муниципальную казну, и исполняются за счет средств  бюджета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1.5.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bookmarkStart w:id="2" w:name="_Hlk497813031"/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внутригородской район </w:t>
      </w:r>
      <w:bookmarkEnd w:id="2"/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«Кировский район»</w:t>
      </w:r>
      <w:r w:rsidR="001B23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г.Махачкала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этим муниципальным образованием.</w:t>
      </w:r>
    </w:p>
    <w:p w:rsidR="00D344CA" w:rsidRDefault="00D344CA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t>2. Структура муниципального долга, виды и срочность муниципальных долговых обязательств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2.1. Структура муниципального долга представляет собой группировку муниципальных долговых обязательств по видам.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 xml:space="preserve">2.2. Долговые обязательства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внутригородского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могут существовать в виде обязательств по: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1) ценным бумагам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внутригородского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(муниципальным ценным бумагам);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2) бюджетным кредитам, привлеченным в  бюджет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от других бюджетов бюджетной системы Российской Федерации;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3) кредитам, полученным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внутригородским районом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от кредитных организаций;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4) гарантиям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внутригородского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(муниципальным гарантиям).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Долговые обязательства </w:t>
      </w:r>
      <w:r w:rsidR="005A770C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внутригородского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не могут существовать в иных видах, за исключением предусмотренных настоящим пунктом.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2.3. В объем муниципального долга включаются: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1) номинальная сумма долга по муниципальным ценным бумагам;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2) объем основного долга по бюджетным кредитам, привлеченным в бюджет</w:t>
      </w:r>
      <w:r w:rsidR="00B90C7A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3) объем основного долга по кредитам, полученным </w:t>
      </w:r>
      <w:r w:rsidR="00B90C7A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внутригородским районом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4) объем обязательств по муниципальным гарантиям;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5) объем иных (за исключением указанных) непогашенных долговых обязательств городского округа.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2.4. Долговые обязательства </w:t>
      </w:r>
      <w:r w:rsidR="00123632">
        <w:rPr>
          <w:rFonts w:ascii="Times New Roman" w:hAnsi="Times New Roman" w:cs="Times New Roman"/>
          <w:sz w:val="24"/>
          <w:szCs w:val="24"/>
          <w:lang w:eastAsia="ru-RU"/>
        </w:rPr>
        <w:t>внутригородского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краткосрочными (менее одного года), среднесрочными (от одного года до пяти лет) и долгосрочными (от 5 до 10 лет включительно).</w:t>
      </w:r>
    </w:p>
    <w:p w:rsidR="00D344CA" w:rsidRDefault="00D344CA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t>3. Управление муниципальным долгом и осуществление муниципальных заимствований</w:t>
      </w:r>
    </w:p>
    <w:p w:rsidR="00D344CA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3.1. Управление муниципальным долгом осуществляется администрацией </w:t>
      </w:r>
      <w:bookmarkStart w:id="3" w:name="_Hlk497816152"/>
      <w:r w:rsidR="00B90C7A" w:rsidRPr="00352D8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внутригородского района «Кировский район» г.Махачкала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Положением о бюджетном процессе в 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внутригородском районе «Кировский район»</w:t>
      </w:r>
    </w:p>
    <w:p w:rsidR="007F3C99" w:rsidRPr="00352D82" w:rsidRDefault="00555C27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г. Махачкала </w:t>
      </w:r>
      <w:r w:rsidR="007F3C99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3.2. Право осуществления муниципальных заимствований от имени 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>внутригородского района «Кировский район»</w:t>
      </w:r>
      <w:r w:rsidR="00D344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D344C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>ахачкала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принадлежит администрации 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внутригородского района «Кировский район» </w:t>
      </w:r>
      <w:proofErr w:type="gramStart"/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г.Махачкала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proofErr w:type="gramEnd"/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исполнительно-распорядительному органу.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3.3. Муниципальные заимствования осуществляются в соответствии с программой (муниципальных) внутренних заимствований на очередной финансовый год и плановый период, в целях финансирования дефицита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района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, для погашения долговых обязательств </w:t>
      </w:r>
      <w:r w:rsidR="00123632">
        <w:rPr>
          <w:rFonts w:ascii="Times New Roman" w:hAnsi="Times New Roman" w:cs="Times New Roman"/>
          <w:sz w:val="24"/>
          <w:szCs w:val="24"/>
          <w:lang w:eastAsia="ru-RU"/>
        </w:rPr>
        <w:t xml:space="preserve">внутригородского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и на иные цели.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3.4. Программа внутренних муниципальных заимствований на очередной финансовый год (очередной финансовый год и плановый период) представляет собой перечень всех внутренних заимствований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внутригородского района «Кировский район» г.Махачкала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Программа внутренних муниципальных заимствований на очередной финансовый год (очередной финансовый год и плановый период) является приложением к решению о  бюджете 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на очередной финансовый год (очередной финансовый год и плановый период).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Проведение реструктуризации муниципального долга не отражается в программе муниципальных заимствований.</w:t>
      </w:r>
    </w:p>
    <w:p w:rsidR="00D344CA" w:rsidRDefault="00D344CA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t>4. Виды, условия и порядок осуществления муниципальных заимствований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4.1. Осуществление муниципальных заимствований - это комплекс процедур по принятию решений о муниципальных заимствованиях, выбор определенного вида заемных средств из перечня возможных, оформление всех необходимых документов и последующее получение заемных средств в объемах, не превышающих показателей программы муниципальных заимствований и не нарушающих ограничений, установленных нормативными правовыми актами, регулирующими бюджетные правоотношения.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4.2. Принятие решений об осуществлении заимствований определяется следующей последовательностью: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определение потребности в заимствованиях (объема заемных средств) на стадии планирования  бюджета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и в ходе его исполнения путем внесения изменений в утвержденный бюджет;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выбор конкретного вида заемных средств на основе оценки стоимости заимствований, срока погашения, величины риска;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привлечение заимствований.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4.3. Привлечение заемных средств для финансирования временных кассовых разрывов, когда в определенный период текущего финансового года возникает прогнозируемая недостаточность денежных средств на едином счете  бюджета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, необходимых для осуществления кассовых выплат из  бюджета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осуществляется администрацией 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внутригородского района «Кировский район» г.Махачкала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представлению Финансово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-экономического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Администрации 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внутригородского района «Кировский район» г.Махачкала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Финансовое управление) путем: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получения кредитов в кредитных организациях;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получения кредитов от других бюджетов бюджетной системы Российской Федерации.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4.4. Привлечение всех видов заимствований производится на договорной основе на условиях платности, возвратности и их целевого использования.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4.5. Выбор кредитной организации для привлечения кредита осуществляется на основе результатов открытого конкурса, проводимого в соответствии с законодательством Российской Федерации, регулирующим отношения, связанные с размещением заказов на поставки товаров, выполнение работ, оказание услуг для обеспечения муниципальных нужд.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4.6. Привлечение кредитов от других бюджетов бюджетной системы Российской Федерации осуществляется в порядке и в соответствии с положениями о предоставлении, использовании и возврате бюджетных кредитов, утверждаемыми нормативными правовыми актами участников бюджетного процесса соответствующего уровня.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4.7. Погашение кредита, уплата процентов за пользование займом, обслуживание кредита осуществляются Финансов</w:t>
      </w:r>
      <w:r w:rsidR="00123632">
        <w:rPr>
          <w:rFonts w:ascii="Times New Roman" w:hAnsi="Times New Roman" w:cs="Times New Roman"/>
          <w:sz w:val="24"/>
          <w:szCs w:val="24"/>
          <w:lang w:eastAsia="ru-RU"/>
        </w:rPr>
        <w:t xml:space="preserve">о-экономическим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управлением в соответствии с условиями кредитных договоров, соглашений, не противоречащих, в свою очередь, программе заимствований муниципального образования и другим нормативным правовым актам, регулирующим бюджетные правоотношения.</w:t>
      </w:r>
    </w:p>
    <w:p w:rsidR="00D344CA" w:rsidRDefault="00D344CA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t>5. Муниципальные гарантии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5.1. Муниципальная гарантия - вид долгового обязательства, в силу которого 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образование внутригородской район «Кировский район» г.Махачкала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5.2. Предоставление муниципальных гарантий от имени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внутригородского района «Кировский район» г.Махачкала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</w:t>
      </w:r>
      <w:proofErr w:type="gramStart"/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программой муниципальных гарантий, являющейся приложением к решению о бюджете 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на очередной финансовый год (очередной финансовый год и плановый период), в порядке, установленном Положением о муниципальных гарантиях 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внутригородского района «Кировский район» г.Махачкала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5.3. В решении о  бюджете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предусмотрены бюджетные ассигнования на возможное исполнение выданных муниципальных гарантий.</w:t>
      </w:r>
    </w:p>
    <w:p w:rsidR="00352D82" w:rsidRDefault="00352D82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t>6. Предельный объем муниципального долга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6.1. Предельный объем муниципального долга означает объем муниципального долга, который не может быть превышен при </w:t>
      </w:r>
      <w:proofErr w:type="gramStart"/>
      <w:r w:rsidRPr="00352D82">
        <w:rPr>
          <w:rFonts w:ascii="Times New Roman" w:hAnsi="Times New Roman" w:cs="Times New Roman"/>
          <w:sz w:val="24"/>
          <w:szCs w:val="24"/>
          <w:lang w:eastAsia="ru-RU"/>
        </w:rPr>
        <w:t>исполнении  бюджета</w:t>
      </w:r>
      <w:proofErr w:type="gramEnd"/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6.2. Предельный объем муниципального долга не должен превышать утвержденный общий годовой объем доходов  бюджета</w:t>
      </w:r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6.3. Решением </w:t>
      </w:r>
      <w:proofErr w:type="gramStart"/>
      <w:r w:rsidRPr="00352D82">
        <w:rPr>
          <w:rFonts w:ascii="Times New Roman" w:hAnsi="Times New Roman" w:cs="Times New Roman"/>
          <w:sz w:val="24"/>
          <w:szCs w:val="24"/>
          <w:lang w:eastAsia="ru-RU"/>
        </w:rPr>
        <w:t>о  бюджет</w:t>
      </w:r>
      <w:proofErr w:type="gramEnd"/>
      <w:r w:rsidR="00555C27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расчетный показатель, с указанием в том числе верхнего предела долга по муниципальным гарантиям.</w:t>
      </w:r>
    </w:p>
    <w:p w:rsidR="00352D82" w:rsidRDefault="00352D82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t>7. Обслуживание муниципального долга. Предельные объемы расходов на обслуживание муниципального долга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7.1. Под обслуживанием муниципального долга понимаются операции по выплате доходов по муниципальным долговым обязательствам в виде процентов по ним и (или) дисконта, осуществляемые за счет средств городского бюджета.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7.2. Предельный объем расходов на обслуживание муниципального долга в очередном финансовом году (очередном финансовом году и плановом периоде) устанавливается решением о  бюджете </w:t>
      </w:r>
      <w:r w:rsidR="00123632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на очередной финансовый год (очередной финансовый год и плановый период).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7.3. Предельный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</w:t>
      </w:r>
      <w:proofErr w:type="gramStart"/>
      <w:r w:rsidRPr="00352D82">
        <w:rPr>
          <w:rFonts w:ascii="Times New Roman" w:hAnsi="Times New Roman" w:cs="Times New Roman"/>
          <w:sz w:val="24"/>
          <w:szCs w:val="24"/>
          <w:lang w:eastAsia="ru-RU"/>
        </w:rPr>
        <w:t>о  бюджете</w:t>
      </w:r>
      <w:proofErr w:type="gramEnd"/>
      <w:r w:rsidR="0012363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, по данным отчета об исполнении  бюджета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финансовый год не должен превышать 15 процентов объема расходов, за исключением расходов, осуществляемых за счет субвенций, предоставляемых из бюджетов бюджетной системы Российской Федерации.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7.4. Расходы на обслуживание </w:t>
      </w:r>
      <w:proofErr w:type="spellStart"/>
      <w:r w:rsidRPr="00352D82">
        <w:rPr>
          <w:rFonts w:ascii="Times New Roman" w:hAnsi="Times New Roman" w:cs="Times New Roman"/>
          <w:sz w:val="24"/>
          <w:szCs w:val="24"/>
          <w:lang w:eastAsia="ru-RU"/>
        </w:rPr>
        <w:t>реструктурируемого</w:t>
      </w:r>
      <w:proofErr w:type="spellEnd"/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долга не включаются в объем расходов на обслуживание долгового обязательства в текущем финансовом году, если указанная сумма включается в общий объем </w:t>
      </w:r>
      <w:proofErr w:type="spellStart"/>
      <w:r w:rsidRPr="00352D82">
        <w:rPr>
          <w:rFonts w:ascii="Times New Roman" w:hAnsi="Times New Roman" w:cs="Times New Roman"/>
          <w:sz w:val="24"/>
          <w:szCs w:val="24"/>
          <w:lang w:eastAsia="ru-RU"/>
        </w:rPr>
        <w:t>реструктурируемых</w:t>
      </w:r>
      <w:proofErr w:type="spellEnd"/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7.5.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 бюджете</w:t>
      </w:r>
      <w:r w:rsidR="0012363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как расходы на обслуживание муниципального долга.</w:t>
      </w:r>
    </w:p>
    <w:p w:rsidR="00352D82" w:rsidRDefault="00352D82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t>8. Реструктуризация муниципального долга. Прекращение и списание муниципальных долговых обязательств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8.1. Реструктуризация долга - основанное на соглашении прекращение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Реструктуризация долга может быть осуществлена с частичным (сокращением) суммы основного долга.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8.2. Муниципальное долговое обязательство считается полностью прекращенным и списывается с муниципального долга в случае, если оно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 и в иных случаях прекращения обязательств гаранта перед бенефициаром, предусмотренных </w:t>
      </w:r>
      <w:hyperlink r:id="rId8" w:history="1">
        <w:r w:rsidRPr="00352D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352D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8.3. Списание с муниципального долга муниципальных долговых обязательств, за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исключением обязательств по кредитным соглашениям, обязательств перед Российской Федерацией, субъектами Российской Федерации и другими муниципальными образованиями, осуществляется на основании соответствующего правового акта администрации 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внутригородского района «Кировский район» г.Махачкала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, посредством уменьшения объема муниципального долга по видам списываемых муниципальных долговых обязательств на сумму их списания, без отражения сумм списания в источниках финансирования дефицита  бюджета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2D82" w:rsidRDefault="00352D82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t>9. Учет и регистрация муниципальных долговых обязательств. Отражение в бюджете средств от заимствований и средств погашения муниципального долга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9.1. Учет и регистрация муниципальных долговых обязательств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внутригородского района «Кировский район» г.Махачкала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муниципальной долговой книге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внутригородского района «Кировский район» г.Махачкала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9.2. Ведение муниципальной долговой книги осуществляется </w:t>
      </w:r>
      <w:r w:rsidR="0012363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инансов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о-экономическим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управлением.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Порядок ведения муниципальной долговой книги, состав включаемой информации и сроки ее внесения устанавливаются приказом </w:t>
      </w:r>
      <w:r w:rsidR="0012363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инансово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-экономического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>9.3. Финансово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экономическое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</w:t>
      </w:r>
      <w:proofErr w:type="gramEnd"/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9.4. Отражение </w:t>
      </w:r>
      <w:proofErr w:type="gramStart"/>
      <w:r w:rsidRPr="00352D82">
        <w:rPr>
          <w:rFonts w:ascii="Times New Roman" w:hAnsi="Times New Roman" w:cs="Times New Roman"/>
          <w:sz w:val="24"/>
          <w:szCs w:val="24"/>
          <w:lang w:eastAsia="ru-RU"/>
        </w:rPr>
        <w:t>в  бюджете</w:t>
      </w:r>
      <w:proofErr w:type="gramEnd"/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 от заимствований и погашения основной суммы долга, возникшего из муниципальных заимствований, учитываются в источниках финансирования дефицита  бюджета 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соответственно путем увеличения и (или) уменьшения объема источников финансирования дефицита  бюджета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3C99" w:rsidRPr="00352D82" w:rsidRDefault="007F3C99" w:rsidP="0035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D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9.5. Бюджетный учет, контроль за полнотой и своевременностью поступлений </w:t>
      </w:r>
      <w:proofErr w:type="gramStart"/>
      <w:r w:rsidRPr="00352D82">
        <w:rPr>
          <w:rFonts w:ascii="Times New Roman" w:hAnsi="Times New Roman" w:cs="Times New Roman"/>
          <w:sz w:val="24"/>
          <w:szCs w:val="24"/>
          <w:lang w:eastAsia="ru-RU"/>
        </w:rPr>
        <w:t>в  бюджет</w:t>
      </w:r>
      <w:proofErr w:type="gramEnd"/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и выплат из  бюджета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источников финансирования дефицита бюджета 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главным администратором (администратором) источников финансирования дефицита бюджета </w:t>
      </w:r>
      <w:r w:rsidR="00352D82" w:rsidRPr="00352D8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внутригородского района «Кировский район» г.Махачкала </w:t>
      </w:r>
      <w:r w:rsidRPr="00352D82">
        <w:rPr>
          <w:rFonts w:ascii="Times New Roman" w:hAnsi="Times New Roman" w:cs="Times New Roman"/>
          <w:sz w:val="24"/>
          <w:szCs w:val="24"/>
          <w:lang w:eastAsia="ru-RU"/>
        </w:rPr>
        <w:t>в порядке и в соответствии с нормативными правовыми актами, регулирующими бюджетные правоотношения.</w:t>
      </w:r>
    </w:p>
    <w:p w:rsidR="007E167F" w:rsidRPr="00352D82" w:rsidRDefault="007E167F" w:rsidP="00352D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E167F" w:rsidRPr="00352D82" w:rsidSect="0097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67F"/>
    <w:rsid w:val="00123632"/>
    <w:rsid w:val="001B23B8"/>
    <w:rsid w:val="002B7398"/>
    <w:rsid w:val="00352D82"/>
    <w:rsid w:val="00555C27"/>
    <w:rsid w:val="005849EC"/>
    <w:rsid w:val="005A770C"/>
    <w:rsid w:val="007E167F"/>
    <w:rsid w:val="007F3C99"/>
    <w:rsid w:val="009702CD"/>
    <w:rsid w:val="00996E85"/>
    <w:rsid w:val="009F27AA"/>
    <w:rsid w:val="00AF3FD8"/>
    <w:rsid w:val="00B26E7A"/>
    <w:rsid w:val="00B90C7A"/>
    <w:rsid w:val="00D344CA"/>
    <w:rsid w:val="00F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6699"/>
  <w15:docId w15:val="{EC6104AF-681E-4D70-87B8-9C1E2911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E85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9F27A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1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2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urotdel</cp:lastModifiedBy>
  <cp:revision>8</cp:revision>
  <cp:lastPrinted>2017-12-20T14:29:00Z</cp:lastPrinted>
  <dcterms:created xsi:type="dcterms:W3CDTF">2017-11-07T06:59:00Z</dcterms:created>
  <dcterms:modified xsi:type="dcterms:W3CDTF">2020-04-14T14:36:00Z</dcterms:modified>
</cp:coreProperties>
</file>